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472</w:t>
      </w:r>
      <w:r>
        <w:rPr>
          <w:rFonts w:ascii="Times New Roman" w:eastAsia="Times New Roman" w:hAnsi="Times New Roman" w:cs="Times New Roman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УИД№86MS0032-01-2024-003630-18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0"/>
          <w:szCs w:val="20"/>
        </w:rPr>
      </w:pPr>
    </w:p>
    <w:p>
      <w:pPr>
        <w:widowControl w:val="0"/>
        <w:spacing w:before="0" w:after="0"/>
        <w:ind w:firstLine="164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tabs>
          <w:tab w:val="left" w:pos="7805"/>
        </w:tabs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ind w:firstLine="67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судьи судебного участка № 5 Сургутского судебного района Ханты-Мансийского автономного округа –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Михеева Светлана Валерьевна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67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13 </w:t>
      </w:r>
      <w:r>
        <w:rPr>
          <w:rFonts w:ascii="Times New Roman" w:eastAsia="Times New Roman" w:hAnsi="Times New Roman" w:cs="Times New Roman"/>
          <w:sz w:val="28"/>
          <w:szCs w:val="28"/>
        </w:rPr>
        <w:t>гп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Сургутский район 628449 </w:t>
      </w:r>
    </w:p>
    <w:p>
      <w:pPr>
        <w:widowControl w:val="0"/>
        <w:spacing w:before="0" w:after="0"/>
        <w:ind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Зюзина </w:t>
      </w:r>
      <w:r>
        <w:rPr>
          <w:rFonts w:ascii="Times New Roman" w:eastAsia="Times New Roman" w:hAnsi="Times New Roman" w:cs="Times New Roman"/>
          <w:sz w:val="28"/>
          <w:szCs w:val="28"/>
        </w:rPr>
        <w:t>Михаила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2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3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цу,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</w:t>
      </w:r>
      <w:r>
        <w:rPr>
          <w:rFonts w:ascii="Times New Roman" w:eastAsia="Times New Roman" w:hAnsi="Times New Roman" w:cs="Times New Roman"/>
          <w:sz w:val="28"/>
          <w:szCs w:val="28"/>
        </w:rPr>
        <w:t>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Права понятны, ходатайств не поступило,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:0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Зюзин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</w:t>
      </w:r>
      <w:r>
        <w:rPr>
          <w:rStyle w:val="cat-UserDefinedgrp-33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суда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 административный надзор,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явился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на регистрацию в ОМВД России по Сургутскому району.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Зюзин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не явился, предоставил ходатайство о рассмотрении дела в его отсутствие.</w:t>
      </w:r>
    </w:p>
    <w:p>
      <w:pPr>
        <w:widowControl w:val="0"/>
        <w:spacing w:before="0" w:after="0"/>
        <w:ind w:firstLine="69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Зюзина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86 №</w:t>
      </w:r>
      <w:r>
        <w:rPr>
          <w:rFonts w:ascii="Times New Roman" w:eastAsia="Times New Roman" w:hAnsi="Times New Roman" w:cs="Times New Roman"/>
          <w:sz w:val="28"/>
          <w:szCs w:val="28"/>
        </w:rPr>
        <w:t>364886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рапортами сотрудников ОП №1, регистрационным листом,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Ишимского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суда Тюменской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оценены в совокупности с другими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 требованиями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с позиции соблюдения требований закона при их получении ч. 3 ст.26.2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в отношении которого ведется производство по делу об административном правонарушении, 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Зюзина М.Н.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- доказана.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Зюзина М.Н.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ч.1 ст.19.24 КоАП РФ 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смягчающим административную ответственность, в соответствии ст. 4.2 Кодекса Российской Федерации об административных правонарушениях, судьей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отягчающих административную ответственность на основании ст. 4.3 Кодекса Российской Федерации об административных правонарушениях, является повторное совершение административного правонарушения.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29.7- 29.11Кодекса Российской Федерации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н о в и 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Зюзина Михаила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19.24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1000 руб. /одна тысяча / руб.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УФК по Ханты-Мансийскому автономному округу - </w:t>
      </w:r>
      <w:r>
        <w:rPr>
          <w:rFonts w:ascii="Times New Roman" w:eastAsia="Times New Roman" w:hAnsi="Times New Roman" w:cs="Times New Roman"/>
          <w:sz w:val="28"/>
          <w:szCs w:val="28"/>
        </w:rPr>
        <w:t>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(Департамент административного обеспечения Ханты-Мансийского автономного округа –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л/с 04872D08080), ИНН 8601073664, КПП 860101001, ОКТМО 71826000, № счета получателя: 03100643000000018700,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40102810245370000007, РКЦ Ханты-Мансийск//УФК по Ханты-Мансийскому автономному округу, БИК 007162163, КБК 72011601193019000140, УИН 0412365400325004722419112, наименование платежа 5-472-1505/2024.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 привлекаемого к административной ответственности, что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С.В. Михеева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Style w:val="cat-UserDefinedgrp-34rplc-4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>
      <w:headerReference w:type="default" r:id="rId6"/>
      <w:footerReference w:type="default" r:id="rId7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0"/>
      <w:spacing w:before="0" w:after="0"/>
      <w:jc w:val="center"/>
      <w:rPr>
        <w:sz w:val="20"/>
        <w:szCs w:val="20"/>
      </w:rPr>
    </w:pPr>
  </w:p>
  <w:p>
    <w:pPr>
      <w:widowControl w:val="0"/>
      <w:spacing w:before="0" w:after="0"/>
      <w:rPr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649670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UserDefinedgrp-33rplc-15">
    <w:name w:val="cat-UserDefined grp-33 rplc-15"/>
    <w:basedOn w:val="DefaultParagraphFont"/>
  </w:style>
  <w:style w:type="character" w:customStyle="1" w:styleId="cat-UserDefinedgrp-33rplc-21">
    <w:name w:val="cat-UserDefined grp-33 rplc-21"/>
    <w:basedOn w:val="DefaultParagraphFont"/>
  </w:style>
  <w:style w:type="character" w:customStyle="1" w:styleId="cat-UserDefinedgrp-34rplc-44">
    <w:name w:val="cat-UserDefined grp-34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glossaryDocument" Target="glossary/document.xml" /><Relationship Id="rId9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8815C-3CD7-4706-86DC-6EE28198AB58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